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770D16" w:rsidRDefault="001E66E1" w:rsidP="00CA650D">
      <w:pPr>
        <w:pStyle w:val="NormalWeb"/>
        <w:spacing w:after="1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70D16">
        <w:rPr>
          <w:rFonts w:ascii="Arial" w:hAnsi="Arial" w:cs="Arial"/>
          <w:b/>
          <w:color w:val="000000"/>
          <w:sz w:val="22"/>
          <w:szCs w:val="22"/>
          <w:u w:val="single"/>
        </w:rPr>
        <w:t>TITLE:</w:t>
      </w:r>
      <w:r w:rsidR="00D43CEB" w:rsidRPr="00770D16">
        <w:rPr>
          <w:rFonts w:ascii="Arial" w:hAnsi="Arial" w:cs="Arial"/>
          <w:color w:val="000000"/>
          <w:sz w:val="22"/>
          <w:szCs w:val="22"/>
        </w:rPr>
        <w:t xml:space="preserve">  </w:t>
      </w:r>
      <w:r w:rsidR="00696EF8" w:rsidRPr="00770D16">
        <w:rPr>
          <w:rFonts w:ascii="Arial" w:hAnsi="Arial" w:cs="Arial"/>
          <w:color w:val="000000"/>
          <w:sz w:val="22"/>
          <w:szCs w:val="22"/>
        </w:rPr>
        <w:t>Optimizing Chronic Pain Treatment with Enhanced Neuroplastic Responsiveness (OPTIMIZE)</w:t>
      </w:r>
    </w:p>
    <w:p w:rsidR="00C469F0" w:rsidRPr="00770D16" w:rsidRDefault="00C469F0" w:rsidP="00CA650D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A4DEE" w:rsidRPr="00770D16" w:rsidRDefault="001E66E1" w:rsidP="00CA65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70D16">
        <w:rPr>
          <w:rFonts w:ascii="Arial" w:hAnsi="Arial" w:cs="Arial"/>
          <w:b/>
          <w:color w:val="000000"/>
          <w:sz w:val="22"/>
          <w:szCs w:val="22"/>
          <w:u w:val="single"/>
        </w:rPr>
        <w:t>FACULTY MENTOR</w:t>
      </w:r>
      <w:r w:rsidR="00CE72CD" w:rsidRPr="00770D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NAME, EMAIL, PHONE NUMBER</w:t>
      </w:r>
      <w:r w:rsidR="00CE72CD" w:rsidRPr="00770D1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CE72CD" w:rsidRPr="00770D16">
        <w:rPr>
          <w:rFonts w:ascii="Arial" w:hAnsi="Arial" w:cs="Arial"/>
          <w:color w:val="000000"/>
          <w:sz w:val="22"/>
          <w:szCs w:val="22"/>
        </w:rPr>
        <w:tab/>
      </w:r>
      <w:r w:rsidR="00696EF8" w:rsidRPr="00770D16">
        <w:rPr>
          <w:rFonts w:ascii="Arial" w:hAnsi="Arial" w:cs="Arial"/>
          <w:color w:val="000000"/>
          <w:sz w:val="22"/>
          <w:szCs w:val="22"/>
        </w:rPr>
        <w:t>Kim</w:t>
      </w:r>
      <w:r w:rsidR="00A173AB" w:rsidRPr="00770D16">
        <w:rPr>
          <w:rFonts w:ascii="Arial" w:hAnsi="Arial" w:cs="Arial"/>
          <w:color w:val="000000"/>
          <w:sz w:val="22"/>
          <w:szCs w:val="22"/>
        </w:rPr>
        <w:t>berly</w:t>
      </w:r>
      <w:r w:rsidR="00696EF8" w:rsidRPr="00770D16">
        <w:rPr>
          <w:rFonts w:ascii="Arial" w:hAnsi="Arial" w:cs="Arial"/>
          <w:color w:val="000000"/>
          <w:sz w:val="22"/>
          <w:szCs w:val="22"/>
        </w:rPr>
        <w:t xml:space="preserve"> Sibille</w:t>
      </w:r>
      <w:r w:rsidR="004F0F20" w:rsidRPr="00770D16">
        <w:rPr>
          <w:rFonts w:ascii="Arial" w:hAnsi="Arial" w:cs="Arial"/>
          <w:color w:val="000000"/>
          <w:sz w:val="22"/>
          <w:szCs w:val="22"/>
        </w:rPr>
        <w:t>, PhD</w:t>
      </w:r>
    </w:p>
    <w:p w:rsidR="00D13DF2" w:rsidRPr="00770D16" w:rsidRDefault="00696EF8" w:rsidP="00CE72CD">
      <w:pPr>
        <w:pStyle w:val="NormalWeb"/>
        <w:ind w:left="5760"/>
        <w:rPr>
          <w:rFonts w:ascii="Arial" w:hAnsi="Arial" w:cs="Arial"/>
          <w:color w:val="000000"/>
          <w:sz w:val="22"/>
          <w:szCs w:val="22"/>
        </w:rPr>
      </w:pPr>
      <w:r w:rsidRPr="00770D16">
        <w:rPr>
          <w:rFonts w:ascii="Arial" w:hAnsi="Arial" w:cs="Arial"/>
          <w:color w:val="000000"/>
          <w:sz w:val="22"/>
          <w:szCs w:val="22"/>
        </w:rPr>
        <w:t>ksibille@ufl.edu</w:t>
      </w:r>
      <w:r w:rsidRPr="00770D16">
        <w:rPr>
          <w:rFonts w:ascii="Arial" w:hAnsi="Arial" w:cs="Arial"/>
          <w:color w:val="000000"/>
          <w:sz w:val="22"/>
          <w:szCs w:val="22"/>
        </w:rPr>
        <w:br/>
        <w:t>352-294-58</w:t>
      </w:r>
      <w:r w:rsidR="00A173AB" w:rsidRPr="00770D16">
        <w:rPr>
          <w:rFonts w:ascii="Arial" w:hAnsi="Arial" w:cs="Arial"/>
          <w:color w:val="000000"/>
          <w:sz w:val="22"/>
          <w:szCs w:val="22"/>
        </w:rPr>
        <w:t>46</w:t>
      </w:r>
    </w:p>
    <w:p w:rsidR="00C469F0" w:rsidRPr="00770D16" w:rsidRDefault="00C469F0" w:rsidP="00CA650D">
      <w:pPr>
        <w:pStyle w:val="NormalWeb"/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E72CD" w:rsidRPr="00770D16" w:rsidRDefault="00CE72CD" w:rsidP="00CA650D">
      <w:pPr>
        <w:pStyle w:val="NormalWeb"/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70D16">
        <w:rPr>
          <w:rFonts w:ascii="Arial" w:hAnsi="Arial" w:cs="Arial"/>
          <w:b/>
          <w:color w:val="000000"/>
          <w:sz w:val="22"/>
          <w:szCs w:val="22"/>
          <w:u w:val="single"/>
        </w:rPr>
        <w:t>FACULTY MENTOR DEPARTMENT</w:t>
      </w:r>
      <w:r w:rsidRPr="00770D1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C469F0" w:rsidRPr="00770D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70D16">
        <w:rPr>
          <w:rFonts w:ascii="Arial" w:hAnsi="Arial" w:cs="Arial"/>
          <w:color w:val="000000"/>
          <w:sz w:val="22"/>
          <w:szCs w:val="22"/>
        </w:rPr>
        <w:t>Aging &amp; Geriatric Research</w:t>
      </w:r>
    </w:p>
    <w:p w:rsidR="00CE72CD" w:rsidRPr="00770D16" w:rsidRDefault="00CE72CD" w:rsidP="00CA650D">
      <w:pPr>
        <w:pStyle w:val="NormalWeb"/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469F0" w:rsidRPr="00770D16" w:rsidRDefault="00B51601" w:rsidP="00CA650D">
      <w:pPr>
        <w:pStyle w:val="NormalWeb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RESEARCH PROJECT DESCRIPTION</w:t>
      </w:r>
      <w:r w:rsidR="00C379A8" w:rsidRPr="00C379A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469F0" w:rsidRPr="00C379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469F0" w:rsidRPr="00770D16" w:rsidRDefault="00C469F0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Background</w:t>
      </w:r>
    </w:p>
    <w:p w:rsidR="00A423A2" w:rsidRPr="00770D16" w:rsidRDefault="00A173AB" w:rsidP="00056F27">
      <w:pPr>
        <w:pStyle w:val="NormalWeb"/>
        <w:rPr>
          <w:rFonts w:ascii="Arial" w:hAnsi="Arial" w:cs="Arial"/>
          <w:bCs/>
          <w:i/>
          <w:color w:val="000000"/>
          <w:sz w:val="22"/>
          <w:szCs w:val="22"/>
        </w:rPr>
      </w:pPr>
      <w:r w:rsidRPr="00770D16">
        <w:rPr>
          <w:rFonts w:ascii="Arial" w:hAnsi="Arial" w:cs="Arial"/>
          <w:bCs/>
          <w:color w:val="000000"/>
          <w:sz w:val="22"/>
          <w:szCs w:val="22"/>
        </w:rPr>
        <w:t>C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 xml:space="preserve">hronic pain is associated with 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>functional and structural c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>hanges in the brain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instrText xml:space="preserve"> ADDIN REFMGR.CITE &lt;Refman&gt;&lt;Cite&gt;&lt;Author&gt;Davis KD&lt;/Author&gt;&lt;Year&gt;2013&lt;/Year&gt;&lt;RecNum&gt;21957&lt;/RecNum&gt;&lt;IDText&gt;Central mechanisms of pain revealed through functional and structural MRI.&lt;/IDText&gt;&lt;MDL Ref_Type="Journal (Full)"&gt;&lt;Ref_Type&gt;Journal (Full)&lt;/Ref_Type&gt;&lt;Ref_ID&gt;21957&lt;/Ref_ID&gt;&lt;Title_Primary&gt;Central mechanisms of pain revealed through functional and structural MRI.&lt;/Title_Primary&gt;&lt;Authors_Primary&gt;Davis KD&lt;/Authors_Primary&gt;&lt;Authors_Primary&gt;Moayedi M&lt;/Authors_Primary&gt;&lt;Date_Primary&gt;2013&lt;/Date_Primary&gt;&lt;Keywords&gt;CENTRAL&lt;/Keywords&gt;&lt;Keywords&gt;mechanisms&lt;/Keywords&gt;&lt;Keywords&gt;mechanism&lt;/Keywords&gt;&lt;Keywords&gt;PAIN&lt;/Keywords&gt;&lt;Reprint&gt;Not in File&lt;/Reprint&gt;&lt;Start_Page&gt;518&lt;/Start_Page&gt;&lt;End_Page&gt;534&lt;/End_Page&gt;&lt;Periodical&gt;J Neuroimmune Pharmacol&lt;/Periodical&gt;&lt;Volume&gt;8&lt;/Volume&gt;&lt;ZZ_JournalFull&gt;&lt;f name="System"&gt;J Neuroimmune Pharmacol&lt;/f&gt;&lt;/ZZ_JournalFull&gt;&lt;ZZ_WorkformID&gt;32&lt;/ZZ_WorkformID&gt;&lt;/MDL&gt;&lt;/Cite&gt;&lt;/Refman&gt;</w:instrTex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>. Recent advances indicate promising opportunities to “re-open” and enhance neuroplastic responsiveness with non-pharmacological and non-invasive strategies</w:t>
      </w:r>
      <w:r w:rsidR="00AE4FA3" w:rsidRPr="00770D16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>Strategies to maximize neuroplastic responsiveness to chronic pain treatment could enhance treatment gains by increasing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 xml:space="preserve"> neuroplasticity,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 xml:space="preserve"> learning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>,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 xml:space="preserve"> and positive adaptation. The intentions underlying the proposed study are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 xml:space="preserve"> to identify strategies</w:t>
      </w:r>
      <w:r w:rsidR="00696EF8" w:rsidRPr="00770D16">
        <w:rPr>
          <w:rFonts w:ascii="Arial" w:hAnsi="Arial" w:cs="Arial"/>
          <w:bCs/>
          <w:color w:val="000000"/>
          <w:sz w:val="22"/>
          <w:szCs w:val="22"/>
        </w:rPr>
        <w:t xml:space="preserve"> to optimize the neurobiological environment to respond to clinical treatment interventions and override the maladaptive neuroplastic changes associated with chronic osteoarthritis pain. </w:t>
      </w:r>
    </w:p>
    <w:p w:rsidR="00C469F0" w:rsidRPr="00770D16" w:rsidRDefault="00C469F0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D13DF2" w:rsidRPr="00770D16" w:rsidRDefault="00110061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Aims</w:t>
      </w:r>
    </w:p>
    <w:p w:rsidR="00110061" w:rsidRPr="00770D16" w:rsidRDefault="00110061" w:rsidP="00056F27">
      <w:pPr>
        <w:pStyle w:val="NormalWeb"/>
        <w:numPr>
          <w:ilvl w:val="0"/>
          <w:numId w:val="9"/>
        </w:numPr>
        <w:rPr>
          <w:rFonts w:ascii="Arial" w:hAnsi="Arial" w:cs="Arial"/>
          <w:bCs/>
          <w:i/>
          <w:sz w:val="22"/>
          <w:szCs w:val="22"/>
        </w:rPr>
      </w:pPr>
      <w:r w:rsidRPr="00770D16">
        <w:rPr>
          <w:rFonts w:ascii="Arial" w:hAnsi="Arial" w:cs="Arial"/>
          <w:bCs/>
          <w:i/>
          <w:sz w:val="22"/>
          <w:szCs w:val="22"/>
        </w:rPr>
        <w:t xml:space="preserve">Determine whether food restriction and/or glucose administration will enhance neuroplastic responsiveness and improve learning retention thereby improving the effectiveness of guided imagery intervention in chronic pain patients; </w:t>
      </w:r>
    </w:p>
    <w:p w:rsidR="00110061" w:rsidRPr="00770D16" w:rsidRDefault="00110061" w:rsidP="00056F27">
      <w:pPr>
        <w:pStyle w:val="NormalWeb"/>
        <w:numPr>
          <w:ilvl w:val="0"/>
          <w:numId w:val="9"/>
        </w:numPr>
        <w:rPr>
          <w:rFonts w:ascii="Arial" w:hAnsi="Arial" w:cs="Arial"/>
          <w:bCs/>
          <w:i/>
          <w:sz w:val="22"/>
          <w:szCs w:val="22"/>
        </w:rPr>
      </w:pPr>
      <w:r w:rsidRPr="00770D16">
        <w:rPr>
          <w:rFonts w:ascii="Arial" w:hAnsi="Arial" w:cs="Arial"/>
          <w:bCs/>
          <w:i/>
          <w:sz w:val="22"/>
          <w:szCs w:val="22"/>
        </w:rPr>
        <w:t xml:space="preserve">Identify neurobiological and biological mechanisms underlying the proposed interventions. </w:t>
      </w:r>
    </w:p>
    <w:p w:rsidR="00C469F0" w:rsidRPr="00770D16" w:rsidRDefault="00C469F0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D13DF2" w:rsidRPr="00770D16" w:rsidRDefault="00D13DF2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Methods</w:t>
      </w:r>
    </w:p>
    <w:p w:rsidR="00AE4FA3" w:rsidRPr="00770D16" w:rsidRDefault="00C469F0" w:rsidP="00056F27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770D16">
        <w:rPr>
          <w:rFonts w:ascii="Arial" w:hAnsi="Arial" w:cs="Arial"/>
          <w:bCs/>
          <w:color w:val="000000"/>
          <w:sz w:val="22"/>
          <w:szCs w:val="22"/>
        </w:rPr>
        <w:t xml:space="preserve">Adults with chronic knee osteoarthritis pain </w:t>
      </w:r>
      <w:r w:rsidR="00953266">
        <w:rPr>
          <w:rFonts w:ascii="Arial" w:hAnsi="Arial" w:cs="Arial"/>
          <w:bCs/>
          <w:color w:val="000000"/>
          <w:sz w:val="22"/>
          <w:szCs w:val="22"/>
        </w:rPr>
        <w:t>are</w:t>
      </w:r>
      <w:r w:rsidR="00AE4FA3" w:rsidRPr="00770D16">
        <w:rPr>
          <w:rFonts w:ascii="Arial" w:hAnsi="Arial" w:cs="Arial"/>
          <w:bCs/>
          <w:color w:val="000000"/>
          <w:sz w:val="22"/>
          <w:szCs w:val="22"/>
        </w:rPr>
        <w:t xml:space="preserve"> randomized into one of three groups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 xml:space="preserve"> (intermittent fasting, glucose administration, control)</w:t>
      </w:r>
      <w:r w:rsidR="00BB5C03" w:rsidRPr="00770D16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110061" w:rsidRPr="00770D16">
        <w:rPr>
          <w:rFonts w:ascii="Arial" w:hAnsi="Arial" w:cs="Arial"/>
          <w:bCs/>
          <w:color w:val="000000"/>
          <w:sz w:val="22"/>
          <w:szCs w:val="22"/>
        </w:rPr>
        <w:t xml:space="preserve">participate in </w:t>
      </w:r>
      <w:r w:rsidR="00BB5C03" w:rsidRPr="00770D16">
        <w:rPr>
          <w:rFonts w:ascii="Arial" w:hAnsi="Arial" w:cs="Arial"/>
          <w:bCs/>
          <w:color w:val="000000"/>
          <w:sz w:val="22"/>
          <w:szCs w:val="22"/>
        </w:rPr>
        <w:t>4</w:t>
      </w:r>
      <w:r w:rsidR="00AE4FA3" w:rsidRPr="00770D16">
        <w:rPr>
          <w:rFonts w:ascii="Arial" w:hAnsi="Arial" w:cs="Arial"/>
          <w:bCs/>
          <w:color w:val="000000"/>
          <w:sz w:val="22"/>
          <w:szCs w:val="22"/>
        </w:rPr>
        <w:t xml:space="preserve"> sessions</w:t>
      </w:r>
      <w:r w:rsidR="00110061" w:rsidRPr="00770D16">
        <w:rPr>
          <w:rFonts w:ascii="Arial" w:hAnsi="Arial" w:cs="Arial"/>
          <w:bCs/>
          <w:color w:val="000000"/>
          <w:sz w:val="22"/>
          <w:szCs w:val="22"/>
        </w:rPr>
        <w:t xml:space="preserve"> over a </w:t>
      </w:r>
      <w:r w:rsidR="00BB5C03" w:rsidRPr="00770D16">
        <w:rPr>
          <w:rFonts w:ascii="Arial" w:hAnsi="Arial" w:cs="Arial"/>
          <w:bCs/>
          <w:color w:val="000000"/>
          <w:sz w:val="22"/>
          <w:szCs w:val="22"/>
        </w:rPr>
        <w:t>2-3</w:t>
      </w:r>
      <w:r w:rsidR="00110061" w:rsidRPr="00770D16">
        <w:rPr>
          <w:rFonts w:ascii="Arial" w:hAnsi="Arial" w:cs="Arial"/>
          <w:bCs/>
          <w:color w:val="000000"/>
          <w:sz w:val="22"/>
          <w:szCs w:val="22"/>
        </w:rPr>
        <w:t xml:space="preserve"> week period</w:t>
      </w:r>
      <w:r w:rsidR="00AE4FA3" w:rsidRPr="00770D1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469F0" w:rsidRPr="00770D16" w:rsidRDefault="00C469F0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8B0C21" w:rsidRPr="00770D16" w:rsidRDefault="00056F27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Medical Student </w:t>
      </w:r>
      <w:r w:rsidR="00C469F0"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Role</w:t>
      </w:r>
    </w:p>
    <w:p w:rsidR="00D13DF2" w:rsidRPr="00770D16" w:rsidRDefault="00C469F0" w:rsidP="00056F27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770D16">
        <w:rPr>
          <w:rFonts w:ascii="Arial" w:hAnsi="Arial" w:cs="Arial"/>
          <w:bCs/>
          <w:color w:val="000000"/>
          <w:sz w:val="22"/>
          <w:szCs w:val="22"/>
        </w:rPr>
        <w:t>Assist with s</w:t>
      </w:r>
      <w:r w:rsidR="009C44F5" w:rsidRPr="00770D16">
        <w:rPr>
          <w:rFonts w:ascii="Arial" w:hAnsi="Arial" w:cs="Arial"/>
          <w:bCs/>
          <w:color w:val="000000"/>
          <w:sz w:val="22"/>
          <w:szCs w:val="22"/>
        </w:rPr>
        <w:t>tudy sessions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>, d</w:t>
      </w:r>
      <w:r w:rsidR="00110061" w:rsidRPr="00770D16">
        <w:rPr>
          <w:rFonts w:ascii="Arial" w:hAnsi="Arial" w:cs="Arial"/>
          <w:bCs/>
          <w:color w:val="000000"/>
          <w:sz w:val="22"/>
          <w:szCs w:val="22"/>
        </w:rPr>
        <w:t xml:space="preserve">ata </w:t>
      </w:r>
      <w:r w:rsidR="00BB5C03" w:rsidRPr="00770D16">
        <w:rPr>
          <w:rFonts w:ascii="Arial" w:hAnsi="Arial" w:cs="Arial"/>
          <w:bCs/>
          <w:color w:val="000000"/>
          <w:sz w:val="22"/>
          <w:szCs w:val="22"/>
        </w:rPr>
        <w:t>collection</w:t>
      </w:r>
      <w:r w:rsidRPr="00770D16">
        <w:rPr>
          <w:rFonts w:ascii="Arial" w:hAnsi="Arial" w:cs="Arial"/>
          <w:bCs/>
          <w:color w:val="000000"/>
          <w:sz w:val="22"/>
          <w:szCs w:val="22"/>
        </w:rPr>
        <w:t>, and i</w:t>
      </w:r>
      <w:r w:rsidR="00110061" w:rsidRPr="00770D16">
        <w:rPr>
          <w:rFonts w:ascii="Arial" w:hAnsi="Arial" w:cs="Arial"/>
          <w:bCs/>
          <w:color w:val="000000"/>
          <w:sz w:val="22"/>
          <w:szCs w:val="22"/>
        </w:rPr>
        <w:t>nterpretation of findings</w:t>
      </w:r>
      <w:r w:rsidR="00056F27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469F0" w:rsidRPr="00770D16" w:rsidRDefault="00C469F0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CA650D" w:rsidRPr="00770D16" w:rsidRDefault="00CA650D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Funding</w:t>
      </w:r>
    </w:p>
    <w:p w:rsidR="00CA650D" w:rsidRPr="00770D16" w:rsidRDefault="00110061" w:rsidP="00056F27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770D16">
        <w:rPr>
          <w:rFonts w:ascii="Arial" w:hAnsi="Arial" w:cs="Arial"/>
          <w:color w:val="000000"/>
          <w:sz w:val="22"/>
          <w:szCs w:val="22"/>
        </w:rPr>
        <w:t>A</w:t>
      </w:r>
      <w:r w:rsidR="00C469F0" w:rsidRPr="00770D16">
        <w:rPr>
          <w:rFonts w:ascii="Arial" w:hAnsi="Arial" w:cs="Arial"/>
          <w:color w:val="000000"/>
          <w:sz w:val="22"/>
          <w:szCs w:val="22"/>
        </w:rPr>
        <w:t xml:space="preserve">merican Pain Society and the </w:t>
      </w:r>
      <w:r w:rsidRPr="00770D16">
        <w:rPr>
          <w:rFonts w:ascii="Arial" w:hAnsi="Arial" w:cs="Arial"/>
          <w:color w:val="000000"/>
          <w:sz w:val="22"/>
          <w:szCs w:val="22"/>
        </w:rPr>
        <w:t xml:space="preserve">Sharon S. Keller </w:t>
      </w:r>
      <w:r w:rsidR="00C469F0" w:rsidRPr="00770D16">
        <w:rPr>
          <w:rFonts w:ascii="Arial" w:hAnsi="Arial" w:cs="Arial"/>
          <w:color w:val="000000"/>
          <w:sz w:val="22"/>
          <w:szCs w:val="22"/>
        </w:rPr>
        <w:t xml:space="preserve">Chronic Pain Research </w:t>
      </w:r>
      <w:r w:rsidRPr="00770D16">
        <w:rPr>
          <w:rFonts w:ascii="Arial" w:hAnsi="Arial" w:cs="Arial"/>
          <w:color w:val="000000"/>
          <w:sz w:val="22"/>
          <w:szCs w:val="22"/>
        </w:rPr>
        <w:t>Grant</w:t>
      </w:r>
      <w:r w:rsidR="00CA650D" w:rsidRPr="00770D16">
        <w:rPr>
          <w:rFonts w:ascii="Arial" w:hAnsi="Arial" w:cs="Arial"/>
          <w:bCs/>
          <w:color w:val="000000"/>
          <w:sz w:val="22"/>
          <w:szCs w:val="22"/>
        </w:rPr>
        <w:t xml:space="preserve"> and UF C</w:t>
      </w:r>
      <w:r w:rsidR="00AE4FA3" w:rsidRPr="00770D16">
        <w:rPr>
          <w:rFonts w:ascii="Arial" w:hAnsi="Arial" w:cs="Arial"/>
          <w:bCs/>
          <w:color w:val="000000"/>
          <w:sz w:val="22"/>
          <w:szCs w:val="22"/>
        </w:rPr>
        <w:t>TSI</w:t>
      </w:r>
      <w:r w:rsidR="00770D16" w:rsidRPr="00770D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0D16" w:rsidRPr="00770D16">
        <w:rPr>
          <w:rFonts w:ascii="Arial" w:hAnsi="Arial" w:cs="Arial"/>
          <w:sz w:val="22"/>
          <w:szCs w:val="22"/>
        </w:rPr>
        <w:t>Patient Oriented Pilot Award</w:t>
      </w:r>
    </w:p>
    <w:p w:rsidR="00770D16" w:rsidRPr="00770D16" w:rsidRDefault="00770D16" w:rsidP="00056F27">
      <w:pPr>
        <w:pStyle w:val="NormalWeb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C106DF" w:rsidRPr="00770D16" w:rsidRDefault="00D13DF2" w:rsidP="00056F27">
      <w:pPr>
        <w:pStyle w:val="NormalWeb"/>
        <w:rPr>
          <w:rFonts w:ascii="Arial" w:hAnsi="Arial" w:cs="Arial"/>
          <w:b/>
          <w:i/>
          <w:color w:val="000000"/>
          <w:sz w:val="22"/>
          <w:szCs w:val="22"/>
        </w:rPr>
      </w:pP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R</w:t>
      </w:r>
      <w:r w:rsidR="00CA650D"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elevant P</w:t>
      </w:r>
      <w:r w:rsidRPr="00770D16">
        <w:rPr>
          <w:rFonts w:ascii="Arial" w:hAnsi="Arial" w:cs="Arial"/>
          <w:b/>
          <w:bCs/>
          <w:i/>
          <w:color w:val="000000"/>
          <w:sz w:val="22"/>
          <w:szCs w:val="22"/>
        </w:rPr>
        <w:t>ublications</w:t>
      </w:r>
    </w:p>
    <w:p w:rsidR="00CF1F1D" w:rsidRPr="00770D16" w:rsidRDefault="00110061" w:rsidP="00056F27">
      <w:pPr>
        <w:tabs>
          <w:tab w:val="right" w:pos="540"/>
          <w:tab w:val="left" w:pos="720"/>
        </w:tabs>
        <w:ind w:left="720" w:hanging="720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>Hensch &amp; Bilimoria. Re-opening windows: Manipulating critica</w:t>
      </w:r>
      <w:r w:rsidR="00CF1F1D" w:rsidRPr="00770D16">
        <w:rPr>
          <w:rFonts w:ascii="Arial" w:hAnsi="Arial" w:cs="Arial"/>
          <w:noProof/>
          <w:sz w:val="22"/>
          <w:szCs w:val="22"/>
        </w:rPr>
        <w:t>l periods of brain development.</w:t>
      </w:r>
    </w:p>
    <w:p w:rsidR="00110061" w:rsidRPr="00770D16" w:rsidRDefault="00CF1F1D" w:rsidP="00056F27">
      <w:pPr>
        <w:tabs>
          <w:tab w:val="right" w:pos="540"/>
          <w:tab w:val="left" w:pos="720"/>
        </w:tabs>
        <w:ind w:left="720" w:hanging="720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 xml:space="preserve">      </w:t>
      </w:r>
      <w:r w:rsidR="00110061" w:rsidRPr="00770D16">
        <w:rPr>
          <w:rFonts w:ascii="Arial" w:hAnsi="Arial" w:cs="Arial"/>
          <w:noProof/>
          <w:sz w:val="22"/>
          <w:szCs w:val="22"/>
        </w:rPr>
        <w:t>Cerebrum 2012. pp. 1-18.</w:t>
      </w:r>
    </w:p>
    <w:p w:rsidR="00C469F0" w:rsidRPr="00770D16" w:rsidRDefault="00C469F0" w:rsidP="00056F27">
      <w:pPr>
        <w:tabs>
          <w:tab w:val="right" w:pos="540"/>
          <w:tab w:val="left" w:pos="720"/>
        </w:tabs>
        <w:ind w:left="720" w:hanging="720"/>
        <w:rPr>
          <w:rFonts w:ascii="Arial" w:hAnsi="Arial" w:cs="Arial"/>
          <w:noProof/>
          <w:sz w:val="22"/>
          <w:szCs w:val="22"/>
        </w:rPr>
      </w:pPr>
    </w:p>
    <w:p w:rsidR="00CF1F1D" w:rsidRPr="00770D16" w:rsidRDefault="00110061" w:rsidP="00056F27">
      <w:pPr>
        <w:pStyle w:val="NormalWeb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 xml:space="preserve">Martin et al. Caloric restriction and intermittent fasting: Two potential diets for successful brain </w:t>
      </w:r>
    </w:p>
    <w:p w:rsidR="00110061" w:rsidRPr="00770D16" w:rsidRDefault="00CF1F1D" w:rsidP="00056F27">
      <w:pPr>
        <w:pStyle w:val="NormalWeb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 xml:space="preserve">     </w:t>
      </w:r>
      <w:r w:rsidR="00110061" w:rsidRPr="00770D16">
        <w:rPr>
          <w:rFonts w:ascii="Arial" w:hAnsi="Arial" w:cs="Arial"/>
          <w:noProof/>
          <w:sz w:val="22"/>
          <w:szCs w:val="22"/>
        </w:rPr>
        <w:t>aging. Ageing Research Reviews 2006;5:332-353.</w:t>
      </w:r>
    </w:p>
    <w:p w:rsidR="00C469F0" w:rsidRPr="00770D16" w:rsidRDefault="00C469F0" w:rsidP="00056F27">
      <w:pPr>
        <w:pStyle w:val="NormalWeb"/>
        <w:rPr>
          <w:rFonts w:ascii="Arial" w:hAnsi="Arial" w:cs="Arial"/>
          <w:noProof/>
          <w:sz w:val="22"/>
          <w:szCs w:val="22"/>
        </w:rPr>
      </w:pPr>
    </w:p>
    <w:p w:rsidR="00C469F0" w:rsidRPr="00770D16" w:rsidRDefault="00C469F0" w:rsidP="00056F27">
      <w:pPr>
        <w:pStyle w:val="NormalWeb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 xml:space="preserve">Smith et al. Glucose enhancement of human memory: A comprehensive research review of the glucose </w:t>
      </w:r>
    </w:p>
    <w:p w:rsidR="009C44F5" w:rsidRPr="00770D16" w:rsidRDefault="00C469F0" w:rsidP="00056F27">
      <w:pPr>
        <w:pStyle w:val="NormalWeb"/>
        <w:rPr>
          <w:rFonts w:ascii="Arial" w:hAnsi="Arial" w:cs="Arial"/>
          <w:noProof/>
          <w:sz w:val="22"/>
          <w:szCs w:val="22"/>
        </w:rPr>
      </w:pPr>
      <w:r w:rsidRPr="00770D16">
        <w:rPr>
          <w:rFonts w:ascii="Arial" w:hAnsi="Arial" w:cs="Arial"/>
          <w:noProof/>
          <w:sz w:val="22"/>
          <w:szCs w:val="22"/>
        </w:rPr>
        <w:t xml:space="preserve">     memory facilitation effect. Neuroscience and Biobehavioral Reviews, Vol. 35 2013. pp. 770-783.</w:t>
      </w:r>
    </w:p>
    <w:p w:rsidR="000B6AE1" w:rsidRPr="00110061" w:rsidRDefault="000B6AE1" w:rsidP="00056F27">
      <w:pPr>
        <w:pStyle w:val="NormalWeb"/>
        <w:rPr>
          <w:rFonts w:ascii="Arial" w:hAnsi="Arial" w:cs="Arial"/>
          <w:noProof/>
          <w:sz w:val="22"/>
          <w:szCs w:val="22"/>
        </w:rPr>
      </w:pPr>
    </w:p>
    <w:sectPr w:rsidR="000B6AE1" w:rsidRPr="00110061" w:rsidSect="00CE72CD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73D"/>
    <w:multiLevelType w:val="hybridMultilevel"/>
    <w:tmpl w:val="E0B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0626"/>
    <w:multiLevelType w:val="hybridMultilevel"/>
    <w:tmpl w:val="3EFCC552"/>
    <w:lvl w:ilvl="0" w:tplc="8898C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0BE2C">
      <w:start w:val="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2662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E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6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666923"/>
    <w:multiLevelType w:val="hybridMultilevel"/>
    <w:tmpl w:val="EE920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B05"/>
    <w:multiLevelType w:val="hybridMultilevel"/>
    <w:tmpl w:val="BC2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0FC6"/>
    <w:multiLevelType w:val="hybridMultilevel"/>
    <w:tmpl w:val="90A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24C48"/>
    <w:multiLevelType w:val="hybridMultilevel"/>
    <w:tmpl w:val="09FC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0A2A"/>
    <w:multiLevelType w:val="hybridMultilevel"/>
    <w:tmpl w:val="4812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275C0"/>
    <w:multiLevelType w:val="hybridMultilevel"/>
    <w:tmpl w:val="55D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52242"/>
    <w:multiLevelType w:val="hybridMultilevel"/>
    <w:tmpl w:val="108C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56F27"/>
    <w:rsid w:val="000A4B03"/>
    <w:rsid w:val="000B6AE1"/>
    <w:rsid w:val="00110061"/>
    <w:rsid w:val="00130F81"/>
    <w:rsid w:val="001654ED"/>
    <w:rsid w:val="001A4DEE"/>
    <w:rsid w:val="001E66E1"/>
    <w:rsid w:val="002A4B59"/>
    <w:rsid w:val="002D524F"/>
    <w:rsid w:val="002D77B9"/>
    <w:rsid w:val="002E74CF"/>
    <w:rsid w:val="002F11CD"/>
    <w:rsid w:val="002F6E75"/>
    <w:rsid w:val="003B4602"/>
    <w:rsid w:val="003E1B09"/>
    <w:rsid w:val="003F67A0"/>
    <w:rsid w:val="004F0F20"/>
    <w:rsid w:val="00594355"/>
    <w:rsid w:val="00652520"/>
    <w:rsid w:val="00653278"/>
    <w:rsid w:val="00696EF8"/>
    <w:rsid w:val="00770D16"/>
    <w:rsid w:val="007D7DE6"/>
    <w:rsid w:val="00895227"/>
    <w:rsid w:val="008B0C21"/>
    <w:rsid w:val="00953266"/>
    <w:rsid w:val="009553EE"/>
    <w:rsid w:val="00962EE9"/>
    <w:rsid w:val="009C44F5"/>
    <w:rsid w:val="00A173AB"/>
    <w:rsid w:val="00A423A2"/>
    <w:rsid w:val="00A533A6"/>
    <w:rsid w:val="00A6297E"/>
    <w:rsid w:val="00AD322B"/>
    <w:rsid w:val="00AD7C05"/>
    <w:rsid w:val="00AE1167"/>
    <w:rsid w:val="00AE4FA3"/>
    <w:rsid w:val="00B06289"/>
    <w:rsid w:val="00B51601"/>
    <w:rsid w:val="00B76F16"/>
    <w:rsid w:val="00BB5C03"/>
    <w:rsid w:val="00C106DF"/>
    <w:rsid w:val="00C379A8"/>
    <w:rsid w:val="00C469F0"/>
    <w:rsid w:val="00CA650D"/>
    <w:rsid w:val="00CE72CD"/>
    <w:rsid w:val="00CF1F1D"/>
    <w:rsid w:val="00D13DF2"/>
    <w:rsid w:val="00D43CEB"/>
    <w:rsid w:val="00D54CDD"/>
    <w:rsid w:val="00E0197B"/>
    <w:rsid w:val="00E570CD"/>
    <w:rsid w:val="00F724C7"/>
    <w:rsid w:val="00F95560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rsid w:val="001A4DEE"/>
  </w:style>
  <w:style w:type="paragraph" w:styleId="ListParagraph">
    <w:name w:val="List Paragraph"/>
    <w:basedOn w:val="Normal"/>
    <w:uiPriority w:val="34"/>
    <w:qFormat/>
    <w:rsid w:val="00D13D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1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DF2"/>
    <w:pPr>
      <w:autoSpaceDE w:val="0"/>
      <w:autoSpaceDN w:val="0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DF2"/>
    <w:rPr>
      <w:rFonts w:ascii="CG Times" w:hAnsi="CG Times"/>
    </w:rPr>
  </w:style>
  <w:style w:type="paragraph" w:styleId="BalloonText">
    <w:name w:val="Balloon Text"/>
    <w:basedOn w:val="Normal"/>
    <w:link w:val="BalloonTextChar"/>
    <w:rsid w:val="00D1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rsid w:val="001A4DEE"/>
  </w:style>
  <w:style w:type="paragraph" w:styleId="ListParagraph">
    <w:name w:val="List Paragraph"/>
    <w:basedOn w:val="Normal"/>
    <w:uiPriority w:val="34"/>
    <w:qFormat/>
    <w:rsid w:val="00D13D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1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DF2"/>
    <w:pPr>
      <w:autoSpaceDE w:val="0"/>
      <w:autoSpaceDN w:val="0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DF2"/>
    <w:rPr>
      <w:rFonts w:ascii="CG Times" w:hAnsi="CG Times"/>
    </w:rPr>
  </w:style>
  <w:style w:type="paragraph" w:styleId="BalloonText">
    <w:name w:val="Balloon Text"/>
    <w:basedOn w:val="Normal"/>
    <w:link w:val="BalloonTextChar"/>
    <w:rsid w:val="00D1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3107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mailto:schultzg@ufl.edu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2015-10-20T17:36:00Z</dcterms:created>
  <dcterms:modified xsi:type="dcterms:W3CDTF">2015-10-20T17:36:00Z</dcterms:modified>
</cp:coreProperties>
</file>